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60" w:before="0" w:lineRule="auto"/>
        <w:contextualSpacing w:val="0"/>
        <w:jc w:val="center"/>
        <w:rPr/>
      </w:pPr>
      <w:bookmarkStart w:colFirst="0" w:colLast="0" w:name="_bg5z07hv89fw" w:id="0"/>
      <w:bookmarkEnd w:id="0"/>
      <w:r w:rsidDel="00000000" w:rsidR="00000000" w:rsidRPr="00000000">
        <w:rPr>
          <w:rFonts w:ascii="Roboto" w:cs="Roboto" w:eastAsia="Roboto" w:hAnsi="Roboto"/>
          <w:sz w:val="28"/>
          <w:szCs w:val="28"/>
          <w:rtl w:val="0"/>
        </w:rPr>
        <w:t xml:space="preserve">Screw Size and Placement</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Using the proper screw for the proper job is extremely important. The most commonly used screws are the Hex Head #8 &amp; #10 (both ¾”). This is the guideline for using both self-drilling and zip screws with different gauges of metal. The screws are not to </w:t>
      </w:r>
      <w:r w:rsidDel="00000000" w:rsidR="00000000" w:rsidRPr="00000000">
        <w:rPr>
          <w:b w:val="1"/>
          <w:rtl w:val="0"/>
        </w:rPr>
        <w:t xml:space="preserve">EXCEED</w:t>
      </w:r>
      <w:r w:rsidDel="00000000" w:rsidR="00000000" w:rsidRPr="00000000">
        <w:rPr>
          <w:rtl w:val="0"/>
        </w:rPr>
        <w:t xml:space="preserve"> the “Max. Total Thickness” as specified below. </w:t>
      </w:r>
    </w:p>
    <w:p w:rsidR="00000000" w:rsidDel="00000000" w:rsidP="00000000" w:rsidRDefault="00000000" w:rsidRPr="00000000" w14:paraId="00000002">
      <w:pPr>
        <w:contextualSpacing w:val="0"/>
        <w:jc w:val="center"/>
        <w:rPr>
          <w:sz w:val="20"/>
          <w:szCs w:val="20"/>
        </w:rPr>
      </w:pPr>
      <w:r w:rsidDel="00000000" w:rsidR="00000000" w:rsidRPr="00000000">
        <w:rPr>
          <w:rtl w:val="0"/>
        </w:rPr>
      </w:r>
    </w:p>
    <w:tbl>
      <w:tblPr>
        <w:tblStyle w:val="Table1"/>
        <w:tblW w:w="46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175"/>
        <w:gridCol w:w="1380"/>
        <w:tblGridChange w:id="0">
          <w:tblGrid>
            <w:gridCol w:w="1140"/>
            <w:gridCol w:w="2175"/>
            <w:gridCol w:w="1380"/>
          </w:tblGrid>
        </w:tblGridChange>
      </w:tblGrid>
      <w:tr>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Gauge</w:t>
            </w:r>
          </w:p>
        </w:tc>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Inches (Decimal)</w:t>
            </w:r>
          </w:p>
        </w:tc>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2 Layers</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0.050</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0.100</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20</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0.038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0.075</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22</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0.031</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0.063</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24</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0.025</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0.050</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26</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0.019</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0.038</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0.016</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0.031</w:t>
            </w:r>
          </w:p>
        </w:tc>
      </w:tr>
    </w:tbl>
    <w:p w:rsidR="00000000" w:rsidDel="00000000" w:rsidP="00000000" w:rsidRDefault="00000000" w:rsidRPr="00000000" w14:paraId="00000018">
      <w:pPr>
        <w:contextualSpacing w:val="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4038600</wp:posOffset>
            </wp:positionH>
            <wp:positionV relativeFrom="paragraph">
              <wp:posOffset>0</wp:posOffset>
            </wp:positionV>
            <wp:extent cx="1357313" cy="620486"/>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357313" cy="620486"/>
                    </a:xfrm>
                    <a:prstGeom prst="rect"/>
                    <a:ln/>
                  </pic:spPr>
                </pic:pic>
              </a:graphicData>
            </a:graphic>
          </wp:anchor>
        </w:drawing>
      </w:r>
    </w:p>
    <w:tbl>
      <w:tblPr>
        <w:tblStyle w:val="Table2"/>
        <w:tblW w:w="609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665"/>
        <w:gridCol w:w="2340"/>
        <w:tblGridChange w:id="0">
          <w:tblGrid>
            <w:gridCol w:w="2085"/>
            <w:gridCol w:w="1665"/>
            <w:gridCol w:w="2340"/>
          </w:tblGrid>
        </w:tblGridChange>
      </w:tblGrid>
      <w:tr>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HWH Zip Screws</w:t>
            </w:r>
          </w:p>
        </w:tc>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Gauge Range</w:t>
            </w:r>
          </w:p>
        </w:tc>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Max. Total Thickness</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#8 x ¾” </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22-28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0.072</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 x ¾”</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20-28</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0.072</w:t>
            </w:r>
          </w:p>
        </w:tc>
      </w:tr>
    </w:tbl>
    <w:p w:rsidR="00000000" w:rsidDel="00000000" w:rsidP="00000000" w:rsidRDefault="00000000" w:rsidRPr="00000000" w14:paraId="00000022">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4038600</wp:posOffset>
            </wp:positionH>
            <wp:positionV relativeFrom="paragraph">
              <wp:posOffset>85725</wp:posOffset>
            </wp:positionV>
            <wp:extent cx="1362075" cy="622663"/>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362075" cy="622663"/>
                    </a:xfrm>
                    <a:prstGeom prst="rect"/>
                    <a:ln/>
                  </pic:spPr>
                </pic:pic>
              </a:graphicData>
            </a:graphic>
          </wp:anchor>
        </w:drawing>
      </w:r>
    </w:p>
    <w:tbl>
      <w:tblPr>
        <w:tblStyle w:val="Table3"/>
        <w:tblW w:w="6090.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665"/>
        <w:gridCol w:w="2340"/>
        <w:tblGridChange w:id="0">
          <w:tblGrid>
            <w:gridCol w:w="2085"/>
            <w:gridCol w:w="1665"/>
            <w:gridCol w:w="2340"/>
          </w:tblGrid>
        </w:tblGridChange>
      </w:tblGrid>
      <w:tr>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3">
            <w:pPr>
              <w:widowControl w:val="0"/>
              <w:spacing w:line="240" w:lineRule="auto"/>
              <w:contextualSpacing w:val="0"/>
              <w:rPr>
                <w:b w:val="1"/>
                <w:sz w:val="20"/>
                <w:szCs w:val="20"/>
              </w:rPr>
            </w:pPr>
            <w:r w:rsidDel="00000000" w:rsidR="00000000" w:rsidRPr="00000000">
              <w:rPr>
                <w:b w:val="1"/>
                <w:sz w:val="20"/>
                <w:szCs w:val="20"/>
                <w:rtl w:val="0"/>
              </w:rPr>
              <w:t xml:space="preserve">HWH Self-Drilling</w:t>
            </w:r>
          </w:p>
        </w:tc>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4">
            <w:pPr>
              <w:widowControl w:val="0"/>
              <w:spacing w:line="240" w:lineRule="auto"/>
              <w:contextualSpacing w:val="0"/>
              <w:rPr>
                <w:b w:val="1"/>
                <w:sz w:val="20"/>
                <w:szCs w:val="20"/>
              </w:rPr>
            </w:pPr>
            <w:r w:rsidDel="00000000" w:rsidR="00000000" w:rsidRPr="00000000">
              <w:rPr>
                <w:b w:val="1"/>
                <w:sz w:val="20"/>
                <w:szCs w:val="20"/>
                <w:rtl w:val="0"/>
              </w:rPr>
              <w:t xml:space="preserve">Gauge Range</w:t>
            </w:r>
          </w:p>
        </w:tc>
        <w:tc>
          <w:tcPr>
            <w:shd w:fill="d9d9d9"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5">
            <w:pPr>
              <w:widowControl w:val="0"/>
              <w:spacing w:line="240" w:lineRule="auto"/>
              <w:contextualSpacing w:val="0"/>
              <w:rPr>
                <w:b w:val="1"/>
                <w:sz w:val="20"/>
                <w:szCs w:val="20"/>
              </w:rPr>
            </w:pPr>
            <w:r w:rsidDel="00000000" w:rsidR="00000000" w:rsidRPr="00000000">
              <w:rPr>
                <w:b w:val="1"/>
                <w:sz w:val="20"/>
                <w:szCs w:val="20"/>
                <w:rtl w:val="0"/>
              </w:rPr>
              <w:t xml:space="preserve">Max. Total Thickness</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6">
            <w:pPr>
              <w:widowControl w:val="0"/>
              <w:spacing w:line="240" w:lineRule="auto"/>
              <w:contextualSpacing w:val="0"/>
              <w:jc w:val="center"/>
              <w:rPr>
                <w:sz w:val="20"/>
                <w:szCs w:val="20"/>
                <w:highlight w:val="yellow"/>
              </w:rPr>
            </w:pPr>
            <w:r w:rsidDel="00000000" w:rsidR="00000000" w:rsidRPr="00000000">
              <w:rPr>
                <w:sz w:val="20"/>
                <w:szCs w:val="20"/>
                <w:highlight w:val="yellow"/>
                <w:rtl w:val="0"/>
              </w:rPr>
              <w:t xml:space="preserve">#8 x ¾” </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7">
            <w:pPr>
              <w:widowControl w:val="0"/>
              <w:spacing w:line="240" w:lineRule="auto"/>
              <w:contextualSpacing w:val="0"/>
              <w:jc w:val="center"/>
              <w:rPr>
                <w:sz w:val="20"/>
                <w:szCs w:val="20"/>
                <w:highlight w:val="yellow"/>
              </w:rPr>
            </w:pPr>
            <w:r w:rsidDel="00000000" w:rsidR="00000000" w:rsidRPr="00000000">
              <w:rPr>
                <w:sz w:val="20"/>
                <w:szCs w:val="20"/>
                <w:highlight w:val="yellow"/>
                <w:rtl w:val="0"/>
              </w:rPr>
              <w:t xml:space="preserve">16-22</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8">
            <w:pPr>
              <w:widowControl w:val="0"/>
              <w:spacing w:line="240" w:lineRule="auto"/>
              <w:contextualSpacing w:val="0"/>
              <w:jc w:val="center"/>
              <w:rPr>
                <w:sz w:val="20"/>
                <w:szCs w:val="20"/>
                <w:highlight w:val="yellow"/>
              </w:rPr>
            </w:pPr>
            <w:r w:rsidDel="00000000" w:rsidR="00000000" w:rsidRPr="00000000">
              <w:rPr>
                <w:sz w:val="20"/>
                <w:szCs w:val="20"/>
                <w:highlight w:val="yellow"/>
                <w:rtl w:val="0"/>
              </w:rPr>
              <w:t xml:space="preserve">0.100</w:t>
            </w:r>
          </w:p>
        </w:tc>
      </w:tr>
      <w:tr>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9">
            <w:pPr>
              <w:widowControl w:val="0"/>
              <w:spacing w:line="240" w:lineRule="auto"/>
              <w:contextualSpacing w:val="0"/>
              <w:jc w:val="center"/>
              <w:rPr>
                <w:sz w:val="20"/>
                <w:szCs w:val="20"/>
              </w:rPr>
            </w:pPr>
            <w:r w:rsidDel="00000000" w:rsidR="00000000" w:rsidRPr="00000000">
              <w:rPr>
                <w:sz w:val="20"/>
                <w:szCs w:val="20"/>
                <w:rtl w:val="0"/>
              </w:rPr>
              <w:t xml:space="preserve">#10 x ¾”</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A">
            <w:pPr>
              <w:widowControl w:val="0"/>
              <w:spacing w:line="240" w:lineRule="auto"/>
              <w:contextualSpacing w:val="0"/>
              <w:jc w:val="center"/>
              <w:rPr>
                <w:sz w:val="20"/>
                <w:szCs w:val="20"/>
              </w:rPr>
            </w:pPr>
            <w:r w:rsidDel="00000000" w:rsidR="00000000" w:rsidRPr="00000000">
              <w:rPr>
                <w:sz w:val="20"/>
                <w:szCs w:val="20"/>
                <w:rtl w:val="0"/>
              </w:rPr>
              <w:t xml:space="preserve">14-20</w:t>
            </w:r>
          </w:p>
        </w:tc>
        <w:tc>
          <w:tcPr>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B">
            <w:pPr>
              <w:widowControl w:val="0"/>
              <w:spacing w:line="240" w:lineRule="auto"/>
              <w:contextualSpacing w:val="0"/>
              <w:jc w:val="center"/>
              <w:rPr>
                <w:sz w:val="20"/>
                <w:szCs w:val="20"/>
              </w:rPr>
            </w:pPr>
            <w:r w:rsidDel="00000000" w:rsidR="00000000" w:rsidRPr="00000000">
              <w:rPr>
                <w:sz w:val="20"/>
                <w:szCs w:val="20"/>
                <w:rtl w:val="0"/>
              </w:rPr>
              <w:t xml:space="preserve">0.175</w:t>
            </w:r>
          </w:p>
        </w:tc>
      </w:tr>
    </w:tbl>
    <w:p w:rsidR="00000000" w:rsidDel="00000000" w:rsidP="00000000" w:rsidRDefault="00000000" w:rsidRPr="00000000" w14:paraId="0000002C">
      <w:pPr>
        <w:contextualSpacing w:val="0"/>
        <w:jc w:val="center"/>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Placement of screws is equally important as choosing the right screw for the job. As a general rule of thumb, screws are not to be placed more than 6-8” apart on TDF or ductmate frames.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For round pipe, screws must be used in uniform intervals of at least 15” along the circumference. Three screws minimum on 14” or less diameter.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When conditions permit, always screw from the lighter gauge metal </w:t>
      </w:r>
      <w:r w:rsidDel="00000000" w:rsidR="00000000" w:rsidRPr="00000000">
        <w:rPr>
          <w:i w:val="1"/>
          <w:rtl w:val="0"/>
        </w:rPr>
        <w:t xml:space="preserve">into</w:t>
      </w:r>
      <w:r w:rsidDel="00000000" w:rsidR="00000000" w:rsidRPr="00000000">
        <w:rPr>
          <w:rtl w:val="0"/>
        </w:rPr>
        <w:t xml:space="preserve"> the heavier gauge metal.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Although the cost of screws can accumulate over time, the cost of failing duct or equipment can be much more costly. Any job specifications supercede these guidelines. As with any fasteners, when in doubt use a more heavy duty screw or refer to your foreman/project manager.</w:t>
      </w:r>
    </w:p>
    <w:p w:rsidR="00000000" w:rsidDel="00000000" w:rsidP="00000000" w:rsidRDefault="00000000" w:rsidRPr="00000000" w14:paraId="00000034">
      <w:pPr>
        <w:contextualSpacing w:val="0"/>
        <w:rPr/>
      </w:pPr>
      <w:r w:rsidDel="00000000" w:rsidR="00000000" w:rsidRPr="00000000">
        <w:rPr>
          <w:rtl w:val="0"/>
        </w:rPr>
      </w:r>
    </w:p>
    <w:sectPr>
      <w:headerReference r:id="rId8" w:type="default"/>
      <w:footerReference r:id="rId9" w:type="default"/>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jc w:val="right"/>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952500" cy="781050"/>
          <wp:effectExtent b="0" l="0" r="0" t="0"/>
          <wp:wrapSquare wrapText="bothSides" distB="0" distT="0" distL="0" distR="0"/>
          <wp:docPr id="2" name="image5.jpg"/>
          <a:graphic>
            <a:graphicData uri="http://schemas.openxmlformats.org/drawingml/2006/picture">
              <pic:pic>
                <pic:nvPicPr>
                  <pic:cNvPr id="0" name="image5.jpg"/>
                  <pic:cNvPicPr preferRelativeResize="0"/>
                </pic:nvPicPr>
                <pic:blipFill>
                  <a:blip r:embed="rId1"/>
                  <a:srcRect b="14583" l="0" r="0" t="0"/>
                  <a:stretch>
                    <a:fillRect/>
                  </a:stretch>
                </pic:blipFill>
                <pic:spPr>
                  <a:xfrm>
                    <a:off x="0" y="0"/>
                    <a:ext cx="952500" cy="781050"/>
                  </a:xfrm>
                  <a:prstGeom prst="rect"/>
                  <a:ln/>
                </pic:spPr>
              </pic:pic>
            </a:graphicData>
          </a:graphic>
        </wp:anchor>
      </w:drawing>
    </w:r>
  </w:p>
  <w:p w:rsidR="00000000" w:rsidDel="00000000" w:rsidP="00000000" w:rsidRDefault="00000000" w:rsidRPr="00000000" w14:paraId="00000036">
    <w:pPr>
      <w:contextualSpacing w:val="0"/>
      <w:jc w:val="right"/>
      <w:rPr>
        <w:sz w:val="18"/>
        <w:szCs w:val="18"/>
      </w:rPr>
    </w:pPr>
    <w:r w:rsidDel="00000000" w:rsidR="00000000" w:rsidRPr="00000000">
      <w:rPr>
        <w:sz w:val="18"/>
        <w:szCs w:val="18"/>
        <w:rtl w:val="0"/>
      </w:rPr>
      <w:t xml:space="preserve">151 North 600 West</w:t>
    </w:r>
  </w:p>
  <w:p w:rsidR="00000000" w:rsidDel="00000000" w:rsidP="00000000" w:rsidRDefault="00000000" w:rsidRPr="00000000" w14:paraId="00000037">
    <w:pPr>
      <w:contextualSpacing w:val="0"/>
      <w:jc w:val="right"/>
      <w:rPr>
        <w:sz w:val="18"/>
        <w:szCs w:val="18"/>
      </w:rPr>
    </w:pPr>
    <w:r w:rsidDel="00000000" w:rsidR="00000000" w:rsidRPr="00000000">
      <w:rPr>
        <w:sz w:val="18"/>
        <w:szCs w:val="18"/>
        <w:rtl w:val="0"/>
      </w:rPr>
      <w:t xml:space="preserve">Kaysville, UT 84037</w:t>
    </w:r>
  </w:p>
  <w:p w:rsidR="00000000" w:rsidDel="00000000" w:rsidP="00000000" w:rsidRDefault="00000000" w:rsidRPr="00000000" w14:paraId="00000038">
    <w:pPr>
      <w:contextualSpacing w:val="0"/>
      <w:jc w:val="right"/>
      <w:rPr/>
    </w:pPr>
    <w:r w:rsidDel="00000000" w:rsidR="00000000" w:rsidRPr="00000000">
      <w:rPr>
        <w:sz w:val="18"/>
        <w:szCs w:val="18"/>
        <w:rtl w:val="0"/>
      </w:rPr>
      <w:t xml:space="preserve">Phone: (801) 991-1100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